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附件一</w:t>
      </w:r>
    </w:p>
    <w:p>
      <w:pPr>
        <w:spacing w:line="600" w:lineRule="exact"/>
        <w:ind w:firstLine="360"/>
        <w:jc w:val="center"/>
        <w:rPr>
          <w:rFonts w:ascii="方正小标宋简体" w:hAnsi="方正小标宋简体" w:eastAsia="方正小标宋简体"/>
          <w:b w:val="0"/>
          <w:bCs/>
          <w:color w:val="000000"/>
          <w:sz w:val="36"/>
          <w:szCs w:val="30"/>
        </w:rPr>
      </w:pPr>
      <w:bookmarkStart w:id="0" w:name="_GoBack"/>
      <w:r>
        <w:rPr>
          <w:rFonts w:hint="eastAsia" w:ascii="方正小标宋简体" w:hAnsi="方正小标宋简体" w:eastAsia="方正小标宋简体"/>
          <w:b w:val="0"/>
          <w:bCs/>
          <w:color w:val="000000"/>
          <w:sz w:val="36"/>
          <w:szCs w:val="30"/>
        </w:rPr>
        <w:t>北京语言大学201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6"/>
          <w:szCs w:val="30"/>
          <w:lang w:val="en-US" w:eastAsia="zh-CN"/>
        </w:rPr>
        <w:t>9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6"/>
          <w:szCs w:val="30"/>
        </w:rPr>
        <w:t>届优秀毕业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6"/>
          <w:szCs w:val="30"/>
          <w:lang w:val="en-US" w:eastAsia="zh-CN"/>
        </w:rPr>
        <w:t>研究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6"/>
          <w:szCs w:val="30"/>
        </w:rPr>
        <w:t>生核定人数表</w:t>
      </w:r>
    </w:p>
    <w:bookmarkEnd w:id="0"/>
    <w:tbl>
      <w:tblPr>
        <w:tblStyle w:val="2"/>
        <w:tblpPr w:leftFromText="180" w:rightFromText="180" w:vertAnchor="text" w:horzAnchor="page" w:tblpX="1787" w:tblpY="304"/>
        <w:tblOverlap w:val="never"/>
        <w:tblW w:w="8446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6"/>
        <w:gridCol w:w="2790"/>
        <w:gridCol w:w="237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ind w:firstLine="281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优秀毕业生人数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汉语国际教育研究院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汉语国际教育学部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6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国际学生教育政策与评价研究院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人文社会科学学部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6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商学院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外国语学部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14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信息科学院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语言康复学院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语言科学院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3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中华文化研究院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81DAD"/>
    <w:rsid w:val="7E081D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2019-05-06T08:56:00Z</dcterms:created>
  <dc:creator>lotus</dc:creator>
  <cp:lastModifiedBy>lotus</cp:lastModifiedBy>
  <dcterms:modified xsi:type="dcterms:W3CDTF">2019-05-06T09:03:03Z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